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2"/>
    <w:p>
      <w:pPr>
        <w:pStyle w:val="Heading1"/>
      </w:pPr>
      <w:r>
        <w:t xml:space="preserve">Homiletics Analysis: Joshua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12 is a victory register — a formal, comprehensive catalog of the kings defeated by Israel under Moses east of the Jordan (vv. 1–6) and under Joshua west of the Jordan (vv. 7–24). The chapter moves through three structural phases: a summary of the Transjordan conquests with geographic boundaries (vv. 1–6), a summary of the Cisjordan conquests with geographic boundaries (vv. 7–8), and then a bare-form list of thirty-one defeated kings by city name (vv. 9–24). The literary form is deliberate — stripped-down, repetitive, almost liturgical in its cadence:</w:t>
      </w:r>
      <w:r>
        <w:t xml:space="preserve"> </w:t>
      </w:r>
      <w:r>
        <w:t xml:space="preserve">“the king of Jericho, one; the king of Ai, one…”</w:t>
      </w:r>
      <w:r>
        <w:t xml:space="preserve"> </w:t>
      </w:r>
      <w:r>
        <w:t xml:space="preserve">The content is exhaustive and cumulative. Nothing is narrated. Nothing is explained. The record simply accumulates — king after king, one after one — until the total stands at thirty-one. That accumulation is itself the argument.</w:t>
      </w:r>
    </w:p>
    <w:p>
      <w:pPr>
        <w:pStyle w:val="BodyText"/>
      </w:pPr>
      <w:r>
        <w:rPr>
          <w:b/>
          <w:bCs/>
        </w:rPr>
        <w:t xml:space="preserve">This Text — Intent</w:t>
      </w:r>
    </w:p>
    <w:p>
      <w:pPr>
        <w:pStyle w:val="BodyText"/>
      </w:pPr>
      <w:r>
        <w:t xml:space="preserve">God is seeking to produce in the reader an arrested, worshipful acknowledgment of what He has actually accomplished. The list format is not administrative record-keeping dressed up as Scripture — it is doxological testimony in documentary form. The reader who has traveled through the narratives of Joshua 1–11 now receives the full accounting: every campaign, every enemy, every city reduced to a single entry, a single verdict — defeated. The intent is that the reader stop, reckon with the sheer scope of what God has done, and be left without any remaining ground for doubt, ingratitude, or self-congratulation. The land has been given. The enemies have been removed. The promise has been kept. The cumulative weight of thirty-one entries is meant to undo every temptation to minimize God’s faithfulness or to attribute the conquest to Israel’s military genius.</w:t>
      </w:r>
    </w:p>
    <w:p>
      <w:r>
        <w:pict>
          <v:rect style="width:0;height:1.5pt" o:hralign="center" o:hrstd="t" o:hr="t"/>
        </w:pict>
      </w:r>
    </w:p>
    <w:p>
      <w:pPr>
        <w:pStyle w:val="FirstParagraph"/>
      </w:pPr>
      <w:r>
        <w:rPr>
          <w:b/>
          <w:bCs/>
        </w:rPr>
        <w:t xml:space="preserve">Subject Sentence:</w:t>
      </w:r>
      <w:r>
        <w:t xml:space="preserve"> </w:t>
      </w:r>
      <w:r>
        <w:t xml:space="preserve">God’s comprehensive defeat of Canaan’s kings seals the fulfillment of His promised land-grant to Israel.</w:t>
      </w:r>
    </w:p>
    <w:p>
      <w:r>
        <w:pict>
          <v:rect style="width:0;height:1.5pt" o:hralign="center" o:hrstd="t" o:hr="t"/>
        </w:pict>
      </w:r>
    </w:p>
    <w:p>
      <w:pPr>
        <w:pStyle w:val="FirstParagraph"/>
      </w:pPr>
      <w:r>
        <w:rPr>
          <w:b/>
          <w:bCs/>
        </w:rPr>
        <w:t xml:space="preserve">Primary Claim:</w:t>
      </w:r>
      <w:r>
        <w:t xml:space="preserve"> </w:t>
      </w:r>
      <w:r>
        <w:t xml:space="preserve">God is demanding that His people reckon with the full, undeniable scope of what He has accomplished — so that wonder, gratitude, and trust displace every residue of doubt or self-reliance. The record is too long and too complete for any other response.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function of the list</w:t>
      </w:r>
    </w:p>
    <w:p>
      <w:pPr>
        <w:pStyle w:val="BodyText"/>
      </w:pPr>
      <w:r>
        <w:t xml:space="preserve">The primary interpretive question is whether Joshua 12 functions as documentary appendix or as theological argument. Some readers treat it as administrative material — a royal archive preserved for historical completeness but offering little homiletical or devotional content. This reading should be</w:t>
      </w:r>
      <w:r>
        <w:t xml:space="preserve"> </w:t>
      </w:r>
      <w:r>
        <w:rPr>
          <w:i/>
          <w:iCs/>
        </w:rPr>
        <w:t xml:space="preserve">qualified</w:t>
      </w:r>
      <w:r>
        <w:t xml:space="preserve">. It correctly identifies the chapter’s literary genre (a king-list, a known ancient Near Eastern form) but misses the theological freight the text is carrying within its canonical location. Royal annals in the ancient Near East were not neutral record-keeping — they were royal propaganda, declarations of the king’s greatness and power. When Israel’s scribes adopted this form and attributed the victories to the LORD, they were making a theological statement: it is YHWH, not Pharaoh, not Baal, not Sihon, not the thirty-one kings of Canaan, who is the true King and Conqueror. The form itself is the argument.</w:t>
      </w:r>
    </w:p>
    <w:p>
      <w:pPr>
        <w:pStyle w:val="BodyText"/>
      </w:pPr>
      <w:r>
        <w:rPr>
          <w:b/>
          <w:bCs/>
        </w:rPr>
        <w:t xml:space="preserve">The Mosaic and Joshuanic sections (vv. 1–6 vs. vv. 7–24)</w:t>
      </w:r>
    </w:p>
    <w:p>
      <w:pPr>
        <w:pStyle w:val="BodyText"/>
      </w:pPr>
      <w:r>
        <w:t xml:space="preserve">Some interpreters treat the two-part structure (Moses/Transjordan; Joshua/Cisjordan) as simply historical completeness — tying up the Pentateuchal narrative before the book of Joshua concludes. This reading</w:t>
      </w:r>
      <w:r>
        <w:t xml:space="preserve"> </w:t>
      </w:r>
      <w:r>
        <w:rPr>
          <w:i/>
          <w:iCs/>
        </w:rPr>
        <w:t xml:space="preserve">acknowledges</w:t>
      </w:r>
      <w:r>
        <w:t xml:space="preserve"> </w:t>
      </w:r>
      <w:r>
        <w:t xml:space="preserve">something real: the chapter does provide canonical closure on the Transjordanian campaigns of Numbers 21 and Deuteronomy 2–3. But it</w:t>
      </w:r>
      <w:r>
        <w:t xml:space="preserve"> </w:t>
      </w:r>
      <w:r>
        <w:rPr>
          <w:i/>
          <w:iCs/>
        </w:rPr>
        <w:t xml:space="preserve">misses</w:t>
      </w:r>
      <w:r>
        <w:t xml:space="preserve"> </w:t>
      </w:r>
      <w:r>
        <w:t xml:space="preserve">the fuller theological function. By placing Moses and Joshua’s victories in parallel, the text makes a unified claim: one God, one promise, two servants, one unbroken campaign. The continuity between Moses and Joshua is itself a theological argument about the LORD’s persistence in keeping His covenant. Joshua is not a new beginning — he is the continuation of what God started with the exodus.</w:t>
      </w:r>
    </w:p>
    <w:p>
      <w:pPr>
        <w:pStyle w:val="BodyText"/>
      </w:pPr>
      <w:r>
        <w:rPr>
          <w:b/>
          <w:bCs/>
        </w:rPr>
        <w:t xml:space="preserve">The thirty-one kings and historical-critical objections</w:t>
      </w:r>
    </w:p>
    <w:p>
      <w:pPr>
        <w:pStyle w:val="BodyText"/>
      </w:pPr>
      <w:r>
        <w:t xml:space="preserve">Some critical scholarship raises questions about the historical plausibility of the conquest and whether the king-list reflects actual events or later idealized tradition. This reading should be</w:t>
      </w:r>
      <w:r>
        <w:t xml:space="preserve"> </w:t>
      </w:r>
      <w:r>
        <w:rPr>
          <w:i/>
          <w:iCs/>
        </w:rPr>
        <w:t xml:space="preserve">refuted</w:t>
      </w:r>
      <w:r>
        <w:t xml:space="preserve"> </w:t>
      </w:r>
      <w:r>
        <w:t xml:space="preserve">at the level of this framework’s governing commitments. The text presents the list as a factual record of events that occurred, and the canonical function of the chapter depends on its historical referentiality — the doxological force of the accumulation requires that these were real defeats of real kings. A list that is mythologized propaganda carries no weight as testimony. The Reformed and grammatical-historical reading takes the text at face value as a genuine, if compressed, historical record, and reads its theological claims as grounded in actual events.</w:t>
      </w:r>
    </w:p>
    <w:p>
      <w:pPr>
        <w:pStyle w:val="BodyText"/>
      </w:pPr>
      <w:r>
        <w:rPr>
          <w:b/>
          <w:bCs/>
        </w:rPr>
        <w:t xml:space="preserve">The Reformed reading</w:t>
      </w:r>
    </w:p>
    <w:p>
      <w:pPr>
        <w:pStyle w:val="BodyText"/>
      </w:pPr>
      <w:r>
        <w:t xml:space="preserve">The Reformed reading insists that Joshua 12 is neither appendix nor archive but doxological testimony — the form of a royal annals appropriated to declare the LORD’s sovereign kingship and covenant faithfulness. The two-part structure unifies the entire conquest under one covenant God. The list of thirty-one names functions as irrefutable evidence that the promise of Genesis 12, 15, and 17 has reached a decisive moment of fulfillment. Israel did not earn the land; the land was given through YHWH’s conquest. The text demands exactly the response that the Psalms give to YHWH’s great acts — wonder and worship.</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15:18–21</w:t>
      </w:r>
      <w:r>
        <w:t xml:space="preserve"> </w:t>
      </w:r>
      <w:r>
        <w:t xml:space="preserve">— The original land-grant promise specifying the nations to be dispossessed; Joshua 12’s king-list is the documented fulfillment of this covenant promise, nation by nation.</w:t>
      </w:r>
    </w:p>
    <w:p>
      <w:pPr>
        <w:numPr>
          <w:ilvl w:val="0"/>
          <w:numId w:val="1001"/>
        </w:numPr>
      </w:pPr>
      <w:r>
        <w:rPr>
          <w:b/>
          <w:bCs/>
        </w:rPr>
        <w:t xml:space="preserve">Deuteronomy 7:1–2</w:t>
      </w:r>
      <w:r>
        <w:t xml:space="preserve"> </w:t>
      </w:r>
      <w:r>
        <w:t xml:space="preserve">— God commands the dispossession of the seven nations and promises to deliver them; Joshua 12 is the ledger showing that delivery occurred exactly as promised.</w:t>
      </w:r>
    </w:p>
    <w:p>
      <w:pPr>
        <w:numPr>
          <w:ilvl w:val="0"/>
          <w:numId w:val="1001"/>
        </w:numPr>
      </w:pPr>
      <w:r>
        <w:rPr>
          <w:b/>
          <w:bCs/>
        </w:rPr>
        <w:t xml:space="preserve">Numbers 21:21–35</w:t>
      </w:r>
      <w:r>
        <w:t xml:space="preserve"> </w:t>
      </w:r>
      <w:r>
        <w:t xml:space="preserve">— The Transjordanian victories over Sihon and Og, narratively told; Joshua 12:1–6 converts those narratives into formal record, showing that the pre-Jordan phase of conquest belongs to the same unbroken campaign.</w:t>
      </w:r>
    </w:p>
    <w:p>
      <w:pPr>
        <w:numPr>
          <w:ilvl w:val="0"/>
          <w:numId w:val="1001"/>
        </w:numPr>
      </w:pPr>
      <w:r>
        <w:rPr>
          <w:b/>
          <w:bCs/>
        </w:rPr>
        <w:t xml:space="preserve">Psalm 136:17–22</w:t>
      </w:r>
      <w:r>
        <w:t xml:space="preserve"> </w:t>
      </w:r>
      <w:r>
        <w:t xml:space="preserve">— The psalmist’s doxological catalog of YHWH’s victories over</w:t>
      </w:r>
      <w:r>
        <w:t xml:space="preserve"> </w:t>
      </w:r>
      <w:r>
        <w:t xml:space="preserve">“great kings”</w:t>
      </w:r>
      <w:r>
        <w:t xml:space="preserve"> </w:t>
      </w:r>
      <w:r>
        <w:t xml:space="preserve">and</w:t>
      </w:r>
      <w:r>
        <w:t xml:space="preserve"> </w:t>
      </w:r>
      <w:r>
        <w:t xml:space="preserve">“mighty kings,”</w:t>
      </w:r>
      <w:r>
        <w:t xml:space="preserve"> </w:t>
      </w:r>
      <w:r>
        <w:t xml:space="preserve">culminating in the land-grant — a liturgical parallel to Joshua 12’s documentary form, showing that the king-list was meant to generate worship.</w:t>
      </w:r>
    </w:p>
    <w:p>
      <w:pPr>
        <w:numPr>
          <w:ilvl w:val="0"/>
          <w:numId w:val="1001"/>
        </w:numPr>
      </w:pPr>
      <w:r>
        <w:rPr>
          <w:b/>
          <w:bCs/>
        </w:rPr>
        <w:t xml:space="preserve">Acts 13:17–19</w:t>
      </w:r>
      <w:r>
        <w:t xml:space="preserve"> </w:t>
      </w:r>
      <w:r>
        <w:t xml:space="preserve">— Paul’s synagogue sermon recounts God’s conquest of the nations and the land-grant as foundational gospel history — the same acts that Joshua 12 records are cited as the ground for Israel’s history culminating in Christ.</w:t>
      </w:r>
    </w:p>
    <w:p>
      <w:r>
        <w:pict>
          <v:rect style="width:0;height:1.5pt" o:hralign="center" o:hrstd="t" o:hr="t"/>
        </w:pict>
      </w:r>
    </w:p>
    <w:p>
      <w:pPr>
        <w:pStyle w:val="FirstParagraph"/>
      </w:pPr>
      <w:r>
        <w:rPr>
          <w:b/>
          <w:bCs/>
        </w:rPr>
        <w:t xml:space="preserve">Aim:</w:t>
      </w:r>
      <w:r>
        <w:t xml:space="preserve"> </w:t>
      </w:r>
      <w:r>
        <w:t xml:space="preserve">To lead the reader to a full, arrested reckoning with the scope of what God has accomplished, so that gratitude and trust — not self-congratulation or spiritual amnesia — define their posture before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Heading:</w:t>
            </w:r>
            <w:r>
              <w:t xml:space="preserve"> </w:t>
            </w:r>
            <w:r>
              <w:t xml:space="preserve">“these are the kings of the land whom the Israelites defeated”</w:t>
            </w:r>
          </w:p>
        </w:tc>
        <w:tc>
          <w:tcPr/>
          <w:p>
            <w:pPr>
              <w:pStyle w:val="Compact"/>
            </w:pPr>
            <w:r>
              <w:t xml:space="preserve">Frames the entire chapter as an accounting</w:t>
            </w:r>
          </w:p>
        </w:tc>
      </w:tr>
      <w:tr>
        <w:tc>
          <w:tcPr/>
          <w:p>
            <w:pPr>
              <w:pStyle w:val="Compact"/>
            </w:pPr>
            <w:r>
              <w:t xml:space="preserve">1b–2</w:t>
            </w:r>
          </w:p>
        </w:tc>
        <w:tc>
          <w:tcPr/>
          <w:p>
            <w:pPr>
              <w:pStyle w:val="Compact"/>
            </w:pPr>
            <w:r>
              <w:t xml:space="preserve">Territory of Sihon, king of the Amorites — from Arnon to Jabbok, east of the Jordan</w:t>
            </w:r>
          </w:p>
        </w:tc>
        <w:tc>
          <w:tcPr/>
          <w:p>
            <w:pPr>
              <w:pStyle w:val="Compact"/>
            </w:pPr>
            <w:r>
              <w:t xml:space="preserve">Transjordanian conquest, southern sector</w:t>
            </w:r>
          </w:p>
        </w:tc>
      </w:tr>
      <w:tr>
        <w:tc>
          <w:tcPr/>
          <w:p>
            <w:pPr>
              <w:pStyle w:val="Compact"/>
            </w:pPr>
            <w:r>
              <w:t xml:space="preserve">3</w:t>
            </w:r>
          </w:p>
        </w:tc>
        <w:tc>
          <w:tcPr/>
          <w:p>
            <w:pPr>
              <w:pStyle w:val="Compact"/>
            </w:pPr>
            <w:r>
              <w:t xml:space="preserve">Extension of Sihon’s territory — Sea of Chinnereth to Dead Sea, Beth-jeshimoth, Slopes of Pisgah</w:t>
            </w:r>
          </w:p>
        </w:tc>
        <w:tc>
          <w:tcPr/>
          <w:p>
            <w:pPr>
              <w:pStyle w:val="Compact"/>
            </w:pPr>
            <w:r>
              <w:t xml:space="preserve">Completes the geography of Sihon’s domain</w:t>
            </w:r>
          </w:p>
        </w:tc>
      </w:tr>
      <w:tr>
        <w:tc>
          <w:tcPr/>
          <w:p>
            <w:pPr>
              <w:pStyle w:val="Compact"/>
            </w:pPr>
            <w:r>
              <w:t xml:space="preserve">4–5</w:t>
            </w:r>
          </w:p>
        </w:tc>
        <w:tc>
          <w:tcPr/>
          <w:p>
            <w:pPr>
              <w:pStyle w:val="Compact"/>
            </w:pPr>
            <w:r>
              <w:t xml:space="preserve">Territory of Og, king of Bashan — from Mount Hermon to Salecah, the Geshurites and Maacathites</w:t>
            </w:r>
          </w:p>
        </w:tc>
        <w:tc>
          <w:tcPr/>
          <w:p>
            <w:pPr>
              <w:pStyle w:val="Compact"/>
            </w:pPr>
            <w:r>
              <w:t xml:space="preserve">Transjordanian conquest, northern sector</w:t>
            </w:r>
          </w:p>
        </w:tc>
      </w:tr>
      <w:tr>
        <w:tc>
          <w:tcPr/>
          <w:p>
            <w:pPr>
              <w:pStyle w:val="Compact"/>
            </w:pPr>
            <w:r>
              <w:t xml:space="preserve">6</w:t>
            </w:r>
          </w:p>
        </w:tc>
        <w:tc>
          <w:tcPr/>
          <w:p>
            <w:pPr>
              <w:pStyle w:val="Compact"/>
            </w:pPr>
            <w:r>
              <w:t xml:space="preserve">Attribution: Moses and the Israelites defeated them; Moses assigned their land</w:t>
            </w:r>
          </w:p>
        </w:tc>
        <w:tc>
          <w:tcPr/>
          <w:p>
            <w:pPr>
              <w:pStyle w:val="Compact"/>
            </w:pPr>
            <w:r>
              <w:t xml:space="preserve">Closes the Mosaic section; credit given to Moses as the LORD’s servant</w:t>
            </w:r>
          </w:p>
        </w:tc>
      </w:tr>
      <w:tr>
        <w:tc>
          <w:tcPr/>
          <w:p>
            <w:pPr>
              <w:pStyle w:val="Compact"/>
            </w:pPr>
            <w:r>
              <w:t xml:space="preserve">7a</w:t>
            </w:r>
          </w:p>
        </w:tc>
        <w:tc>
          <w:tcPr/>
          <w:p>
            <w:pPr>
              <w:pStyle w:val="Compact"/>
            </w:pPr>
            <w:r>
              <w:t xml:space="preserve">Heading: kings defeated by Joshua west of the Jordan</w:t>
            </w:r>
          </w:p>
        </w:tc>
        <w:tc>
          <w:tcPr/>
          <w:p>
            <w:pPr>
              <w:pStyle w:val="Compact"/>
            </w:pPr>
            <w:r>
              <w:t xml:space="preserve">Parallel structure to v. 1; transitions to the Cisjordanian campaign</w:t>
            </w:r>
          </w:p>
        </w:tc>
      </w:tr>
      <w:tr>
        <w:tc>
          <w:tcPr/>
          <w:p>
            <w:pPr>
              <w:pStyle w:val="Compact"/>
            </w:pPr>
            <w:r>
              <w:t xml:space="preserve">7b–8</w:t>
            </w:r>
          </w:p>
        </w:tc>
        <w:tc>
          <w:tcPr/>
          <w:p>
            <w:pPr>
              <w:pStyle w:val="Compact"/>
            </w:pPr>
            <w:r>
              <w:t xml:space="preserve">Geographic summary of the western territory — from Baal-gad to the bare mountain, multiple ecological zones</w:t>
            </w:r>
          </w:p>
        </w:tc>
        <w:tc>
          <w:tcPr/>
          <w:p>
            <w:pPr>
              <w:pStyle w:val="Compact"/>
            </w:pPr>
            <w:r>
              <w:t xml:space="preserve">The full sweep of Canaan claimed</w:t>
            </w:r>
          </w:p>
        </w:tc>
      </w:tr>
      <w:tr>
        <w:tc>
          <w:tcPr/>
          <w:p>
            <w:pPr>
              <w:pStyle w:val="Compact"/>
            </w:pPr>
            <w:r>
              <w:t xml:space="preserve">9</w:t>
            </w:r>
          </w:p>
        </w:tc>
        <w:tc>
          <w:tcPr/>
          <w:p>
            <w:pPr>
              <w:pStyle w:val="Compact"/>
            </w:pPr>
            <w:r>
              <w:t xml:space="preserve">Jericho — one; Ai (near Bethel) — one</w:t>
            </w:r>
          </w:p>
        </w:tc>
        <w:tc>
          <w:tcPr/>
          <w:p>
            <w:pPr>
              <w:pStyle w:val="Compact"/>
            </w:pPr>
            <w:r>
              <w:t xml:space="preserve">Campaign narrative: Joshua 6; Joshua 8</w:t>
            </w:r>
          </w:p>
        </w:tc>
      </w:tr>
      <w:tr>
        <w:tc>
          <w:tcPr/>
          <w:p>
            <w:pPr>
              <w:pStyle w:val="Compact"/>
            </w:pPr>
            <w:r>
              <w:t xml:space="preserve">10</w:t>
            </w:r>
          </w:p>
        </w:tc>
        <w:tc>
          <w:tcPr/>
          <w:p>
            <w:pPr>
              <w:pStyle w:val="Compact"/>
            </w:pPr>
            <w:r>
              <w:t xml:space="preserve">Jerusalem — one; Hebron — one</w:t>
            </w:r>
          </w:p>
        </w:tc>
        <w:tc>
          <w:tcPr/>
          <w:p>
            <w:pPr>
              <w:pStyle w:val="Compact"/>
            </w:pPr>
            <w:r>
              <w:t xml:space="preserve">Campaign narrative: Joshua 10</w:t>
            </w:r>
          </w:p>
        </w:tc>
      </w:tr>
      <w:tr>
        <w:tc>
          <w:tcPr/>
          <w:p>
            <w:pPr>
              <w:pStyle w:val="Compact"/>
            </w:pPr>
            <w:r>
              <w:t xml:space="preserve">11</w:t>
            </w:r>
          </w:p>
        </w:tc>
        <w:tc>
          <w:tcPr/>
          <w:p>
            <w:pPr>
              <w:pStyle w:val="Compact"/>
            </w:pPr>
            <w:r>
              <w:t xml:space="preserve">Jarmuth — one; Lachish — one</w:t>
            </w:r>
          </w:p>
        </w:tc>
        <w:tc>
          <w:tcPr/>
          <w:p>
            <w:pPr>
              <w:pStyle w:val="Compact"/>
            </w:pPr>
            <w:r>
              <w:t xml:space="preserve">Campaign narrative: Joshua 10</w:t>
            </w:r>
          </w:p>
        </w:tc>
      </w:tr>
      <w:tr>
        <w:tc>
          <w:tcPr/>
          <w:p>
            <w:pPr>
              <w:pStyle w:val="Compact"/>
            </w:pPr>
            <w:r>
              <w:t xml:space="preserve">12</w:t>
            </w:r>
          </w:p>
        </w:tc>
        <w:tc>
          <w:tcPr/>
          <w:p>
            <w:pPr>
              <w:pStyle w:val="Compact"/>
            </w:pPr>
            <w:r>
              <w:t xml:space="preserve">Eglon — one; Gezer — one</w:t>
            </w:r>
          </w:p>
        </w:tc>
        <w:tc>
          <w:tcPr/>
          <w:p>
            <w:pPr>
              <w:pStyle w:val="Compact"/>
            </w:pPr>
            <w:r>
              <w:t xml:space="preserve">Campaign narrative: Joshua 10</w:t>
            </w:r>
          </w:p>
        </w:tc>
      </w:tr>
      <w:tr>
        <w:tc>
          <w:tcPr/>
          <w:p>
            <w:pPr>
              <w:pStyle w:val="Compact"/>
            </w:pPr>
            <w:r>
              <w:t xml:space="preserve">13</w:t>
            </w:r>
          </w:p>
        </w:tc>
        <w:tc>
          <w:tcPr/>
          <w:p>
            <w:pPr>
              <w:pStyle w:val="Compact"/>
            </w:pPr>
            <w:r>
              <w:t xml:space="preserve">Debir — one; Geder — one</w:t>
            </w:r>
          </w:p>
        </w:tc>
        <w:tc>
          <w:tcPr/>
          <w:p>
            <w:pPr>
              <w:pStyle w:val="Compact"/>
            </w:pPr>
            <w:r>
              <w:t xml:space="preserve">Campaign narrative: Joshua 10–11</w:t>
            </w:r>
          </w:p>
        </w:tc>
      </w:tr>
      <w:tr>
        <w:tc>
          <w:tcPr/>
          <w:p>
            <w:pPr>
              <w:pStyle w:val="Compact"/>
            </w:pPr>
            <w:r>
              <w:t xml:space="preserve">14</w:t>
            </w:r>
          </w:p>
        </w:tc>
        <w:tc>
          <w:tcPr/>
          <w:p>
            <w:pPr>
              <w:pStyle w:val="Compact"/>
            </w:pPr>
            <w:r>
              <w:t xml:space="preserve">Hormah — one; Arad — one</w:t>
            </w:r>
          </w:p>
        </w:tc>
        <w:tc>
          <w:tcPr/>
          <w:p>
            <w:pPr>
              <w:pStyle w:val="Compact"/>
            </w:pPr>
            <w:r>
              <w:t xml:space="preserve">Southern campaign</w:t>
            </w:r>
          </w:p>
        </w:tc>
      </w:tr>
      <w:tr>
        <w:tc>
          <w:tcPr/>
          <w:p>
            <w:pPr>
              <w:pStyle w:val="Compact"/>
            </w:pPr>
            <w:r>
              <w:t xml:space="preserve">15</w:t>
            </w:r>
          </w:p>
        </w:tc>
        <w:tc>
          <w:tcPr/>
          <w:p>
            <w:pPr>
              <w:pStyle w:val="Compact"/>
            </w:pPr>
            <w:r>
              <w:t xml:space="preserve">Libnah — one; Adullam — one</w:t>
            </w:r>
          </w:p>
        </w:tc>
        <w:tc>
          <w:tcPr/>
          <w:p>
            <w:pPr>
              <w:pStyle w:val="Compact"/>
            </w:pPr>
            <w:r>
              <w:t xml:space="preserve">Joshua 10</w:t>
            </w:r>
          </w:p>
        </w:tc>
      </w:tr>
      <w:tr>
        <w:tc>
          <w:tcPr/>
          <w:p>
            <w:pPr>
              <w:pStyle w:val="Compact"/>
            </w:pPr>
            <w:r>
              <w:t xml:space="preserve">16</w:t>
            </w:r>
          </w:p>
        </w:tc>
        <w:tc>
          <w:tcPr/>
          <w:p>
            <w:pPr>
              <w:pStyle w:val="Compact"/>
            </w:pPr>
            <w:r>
              <w:t xml:space="preserve">Makkedah — one; Bethel — one</w:t>
            </w:r>
          </w:p>
        </w:tc>
        <w:tc>
          <w:tcPr/>
          <w:p>
            <w:pPr>
              <w:pStyle w:val="Compact"/>
            </w:pPr>
            <w:r>
              <w:t xml:space="preserve">Joshua 10; Joshua 8 region</w:t>
            </w:r>
          </w:p>
        </w:tc>
      </w:tr>
      <w:tr>
        <w:tc>
          <w:tcPr/>
          <w:p>
            <w:pPr>
              <w:pStyle w:val="Compact"/>
            </w:pPr>
            <w:r>
              <w:t xml:space="preserve">17</w:t>
            </w:r>
          </w:p>
        </w:tc>
        <w:tc>
          <w:tcPr/>
          <w:p>
            <w:pPr>
              <w:pStyle w:val="Compact"/>
            </w:pPr>
            <w:r>
              <w:t xml:space="preserve">Tappuah — one; Hepher — one</w:t>
            </w:r>
          </w:p>
        </w:tc>
        <w:tc>
          <w:tcPr/>
          <w:p>
            <w:pPr>
              <w:pStyle w:val="Compact"/>
            </w:pPr>
            <w:r>
              <w:t xml:space="preserve">Central campaign</w:t>
            </w:r>
          </w:p>
        </w:tc>
      </w:tr>
      <w:tr>
        <w:tc>
          <w:tcPr/>
          <w:p>
            <w:pPr>
              <w:pStyle w:val="Compact"/>
            </w:pPr>
            <w:r>
              <w:t xml:space="preserve">18</w:t>
            </w:r>
          </w:p>
        </w:tc>
        <w:tc>
          <w:tcPr/>
          <w:p>
            <w:pPr>
              <w:pStyle w:val="Compact"/>
            </w:pPr>
            <w:r>
              <w:t xml:space="preserve">Aphek — one; Lasharon — one</w:t>
            </w:r>
          </w:p>
        </w:tc>
        <w:tc>
          <w:tcPr/>
          <w:p>
            <w:pPr>
              <w:pStyle w:val="Compact"/>
            </w:pPr>
            <w:r>
              <w:t xml:space="preserve">Coastal region</w:t>
            </w:r>
          </w:p>
        </w:tc>
      </w:tr>
      <w:tr>
        <w:tc>
          <w:tcPr/>
          <w:p>
            <w:pPr>
              <w:pStyle w:val="Compact"/>
            </w:pPr>
            <w:r>
              <w:t xml:space="preserve">19</w:t>
            </w:r>
          </w:p>
        </w:tc>
        <w:tc>
          <w:tcPr/>
          <w:p>
            <w:pPr>
              <w:pStyle w:val="Compact"/>
            </w:pPr>
            <w:r>
              <w:t xml:space="preserve">Madon — one; Hazor — one</w:t>
            </w:r>
          </w:p>
        </w:tc>
        <w:tc>
          <w:tcPr/>
          <w:p>
            <w:pPr>
              <w:pStyle w:val="Compact"/>
            </w:pPr>
            <w:r>
              <w:t xml:space="preserve">Northern campaign: Joshua 11</w:t>
            </w:r>
          </w:p>
        </w:tc>
      </w:tr>
      <w:tr>
        <w:tc>
          <w:tcPr/>
          <w:p>
            <w:pPr>
              <w:pStyle w:val="Compact"/>
            </w:pPr>
            <w:r>
              <w:t xml:space="preserve">20</w:t>
            </w:r>
          </w:p>
        </w:tc>
        <w:tc>
          <w:tcPr/>
          <w:p>
            <w:pPr>
              <w:pStyle w:val="Compact"/>
            </w:pPr>
            <w:r>
              <w:t xml:space="preserve">Shimron-meron — one; Achshaph — one</w:t>
            </w:r>
          </w:p>
        </w:tc>
        <w:tc>
          <w:tcPr/>
          <w:p>
            <w:pPr>
              <w:pStyle w:val="Compact"/>
            </w:pPr>
            <w:r>
              <w:t xml:space="preserve">Joshua 11</w:t>
            </w:r>
          </w:p>
        </w:tc>
      </w:tr>
      <w:tr>
        <w:tc>
          <w:tcPr/>
          <w:p>
            <w:pPr>
              <w:pStyle w:val="Compact"/>
            </w:pPr>
            <w:r>
              <w:t xml:space="preserve">21</w:t>
            </w:r>
          </w:p>
        </w:tc>
        <w:tc>
          <w:tcPr/>
          <w:p>
            <w:pPr>
              <w:pStyle w:val="Compact"/>
            </w:pPr>
            <w:r>
              <w:t xml:space="preserve">Taanach — one; Megiddo — one</w:t>
            </w:r>
          </w:p>
        </w:tc>
        <w:tc>
          <w:tcPr/>
          <w:p>
            <w:pPr>
              <w:pStyle w:val="Compact"/>
            </w:pPr>
            <w:r>
              <w:t xml:space="preserve">Jezreel Valley region</w:t>
            </w:r>
          </w:p>
        </w:tc>
      </w:tr>
      <w:tr>
        <w:tc>
          <w:tcPr/>
          <w:p>
            <w:pPr>
              <w:pStyle w:val="Compact"/>
            </w:pPr>
            <w:r>
              <w:t xml:space="preserve">22</w:t>
            </w:r>
          </w:p>
        </w:tc>
        <w:tc>
          <w:tcPr/>
          <w:p>
            <w:pPr>
              <w:pStyle w:val="Compact"/>
            </w:pPr>
            <w:r>
              <w:t xml:space="preserve">Kedesh — one; Jokneam in Carmel — one</w:t>
            </w:r>
          </w:p>
        </w:tc>
        <w:tc>
          <w:tcPr/>
          <w:p>
            <w:pPr>
              <w:pStyle w:val="Compact"/>
            </w:pPr>
            <w:r>
              <w:t xml:space="preserve">Northern sector</w:t>
            </w:r>
          </w:p>
        </w:tc>
      </w:tr>
      <w:tr>
        <w:tc>
          <w:tcPr/>
          <w:p>
            <w:pPr>
              <w:pStyle w:val="Compact"/>
            </w:pPr>
            <w:r>
              <w:t xml:space="preserve">23</w:t>
            </w:r>
          </w:p>
        </w:tc>
        <w:tc>
          <w:tcPr/>
          <w:p>
            <w:pPr>
              <w:pStyle w:val="Compact"/>
            </w:pPr>
            <w:r>
              <w:t xml:space="preserve">Dor in Naphoth-dor — one; Goiim in Gilgal — one</w:t>
            </w:r>
          </w:p>
        </w:tc>
        <w:tc>
          <w:tcPr/>
          <w:p>
            <w:pPr>
              <w:pStyle w:val="Compact"/>
            </w:pPr>
            <w:r>
              <w:t xml:space="preserve">Coastal and inland</w:t>
            </w:r>
          </w:p>
        </w:tc>
      </w:tr>
      <w:tr>
        <w:tc>
          <w:tcPr/>
          <w:p>
            <w:pPr>
              <w:pStyle w:val="Compact"/>
            </w:pPr>
            <w:r>
              <w:t xml:space="preserve">24</w:t>
            </w:r>
          </w:p>
        </w:tc>
        <w:tc>
          <w:tcPr/>
          <w:p>
            <w:pPr>
              <w:pStyle w:val="Compact"/>
            </w:pPr>
            <w:r>
              <w:t xml:space="preserve">Tirzah — one; total: thirty-one kings</w:t>
            </w:r>
          </w:p>
        </w:tc>
        <w:tc>
          <w:tcPr/>
          <w:p>
            <w:pPr>
              <w:pStyle w:val="Compact"/>
            </w:pPr>
            <w:r>
              <w:t xml:space="preserve">The accumulation lands with a final count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Eastern Record: Moses and the Transjordanian Kings</w:t>
            </w:r>
          </w:p>
        </w:tc>
      </w:tr>
      <w:tr>
        <w:tc>
          <w:tcPr/>
          <w:p>
            <w:pPr>
              <w:pStyle w:val="Compact"/>
            </w:pPr>
            <w:r>
              <w:t xml:space="preserve">2</w:t>
            </w:r>
          </w:p>
        </w:tc>
        <w:tc>
          <w:tcPr/>
          <w:p>
            <w:pPr>
              <w:pStyle w:val="Compact"/>
            </w:pPr>
            <w:r>
              <w:t xml:space="preserve">7–8</w:t>
            </w:r>
          </w:p>
        </w:tc>
        <w:tc>
          <w:tcPr/>
          <w:p>
            <w:pPr>
              <w:pStyle w:val="Compact"/>
            </w:pPr>
            <w:r>
              <w:t xml:space="preserve">The Western Summary: Joshua and the Geography of Conquest</w:t>
            </w:r>
          </w:p>
        </w:tc>
      </w:tr>
      <w:tr>
        <w:tc>
          <w:tcPr/>
          <w:p>
            <w:pPr>
              <w:pStyle w:val="Compact"/>
            </w:pPr>
            <w:r>
              <w:t xml:space="preserve">3</w:t>
            </w:r>
          </w:p>
        </w:tc>
        <w:tc>
          <w:tcPr/>
          <w:p>
            <w:pPr>
              <w:pStyle w:val="Compact"/>
            </w:pPr>
            <w:r>
              <w:t xml:space="preserve">9–24</w:t>
            </w:r>
          </w:p>
        </w:tc>
        <w:tc>
          <w:tcPr/>
          <w:p>
            <w:pPr>
              <w:pStyle w:val="Compact"/>
            </w:pPr>
            <w:r>
              <w:t xml:space="preserve">The Western Register: Thirty-One Kings, One by 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comprehensive defeat of Canaan’s kings seals the fulfillment of His promised land-grant to Israel.</w:t>
      </w:r>
    </w:p>
    <w:p>
      <w:pPr>
        <w:pStyle w:val="BodyText"/>
      </w:pPr>
      <w:r>
        <w:rPr>
          <w:b/>
          <w:bCs/>
        </w:rPr>
        <w:t xml:space="preserve">Primary Claim:</w:t>
      </w:r>
      <w:r>
        <w:t xml:space="preserve"> </w:t>
      </w:r>
      <w:r>
        <w:t xml:space="preserve">God is demanding that His people reckon with the full, undeniable scope of what He has accomplished — so that wonder, gratitude, and trust displace every residue of doubt or self-reliance. The record is too long and too complete for any other response.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Spiritual amnesia is a form of ingratitude — and the antidote is deliberate accounting.</w:t>
      </w:r>
      <w:r>
        <w:t xml:space="preserve"> </w:t>
      </w:r>
      <w:r>
        <w:rPr>
          <w:i/>
          <w:iCs/>
        </w:rPr>
        <w:t xml:space="preserve">(Mind/Belief)</w:t>
      </w:r>
      <w:r>
        <w:t xml:space="preserve"> </w:t>
      </w:r>
      <w:r>
        <w:t xml:space="preserve">Joshua 12 forces the reader to sit with a complete record rather than a highlight reel. God did not preserve a summary; He preserved a ledger. The application is not general: go back and make your own accounting. What has God actually done — in your life, in your family, in your church, over the last decade? Write it down in the same tedious, comprehensive, unglamorous detail this chapter models. Thirty-one entries because there were thirty-one kings. Gratitude proportionate to the actual scope of what happened, not the edited version memory tends to keep.</w:t>
      </w:r>
    </w:p>
    <w:p>
      <w:pPr>
        <w:pStyle w:val="BodyText"/>
      </w:pPr>
      <w:r>
        <w:rPr>
          <w:b/>
          <w:bCs/>
        </w:rPr>
        <w:t xml:space="preserve">2. The victories belong to God, not to the instrument He used.</w:t>
      </w:r>
      <w:r>
        <w:t xml:space="preserve"> </w:t>
      </w:r>
      <w:r>
        <w:rPr>
          <w:i/>
          <w:iCs/>
        </w:rPr>
        <w:t xml:space="preserve">(Mind/Belief)</w:t>
      </w:r>
      <w:r>
        <w:t xml:space="preserve"> </w:t>
      </w:r>
      <w:r>
        <w:t xml:space="preserve">The text is careful:</w:t>
      </w:r>
      <w:r>
        <w:t xml:space="preserve"> </w:t>
      </w:r>
      <w:r>
        <w:t xml:space="preserve">“Moses the servant of the LORD and the Israelites defeated them”</w:t>
      </w:r>
      <w:r>
        <w:t xml:space="preserve"> </w:t>
      </w:r>
      <w:r>
        <w:t xml:space="preserve">— and then Joshua — but the geographic summaries and the framing make clear that the land was given, not seized. Thirty-one kings did not fall because Israel was militarily superior. The application is a direct challenge to every form of Christian self-congratulation: the ministry fruit, the life rebuilt, the sin defeated, the door opened — these are entries in God’s ledger, not yours. Receive them as testimony, not resume.</w:t>
      </w:r>
    </w:p>
    <w:p>
      <w:pPr>
        <w:pStyle w:val="BodyText"/>
      </w:pPr>
      <w:r>
        <w:rPr>
          <w:b/>
          <w:bCs/>
        </w:rPr>
        <w:t xml:space="preserve">3. God’s faithfulness across generations should anchor present trust.</w:t>
      </w:r>
      <w:r>
        <w:t xml:space="preserve"> </w:t>
      </w:r>
      <w:r>
        <w:rPr>
          <w:i/>
          <w:iCs/>
        </w:rPr>
        <w:t xml:space="preserve">(Affections/Worship)</w:t>
      </w:r>
      <w:r>
        <w:t xml:space="preserve"> </w:t>
      </w:r>
      <w:r>
        <w:t xml:space="preserve">The two-part structure — Moses then Joshua — stretches the conquest across a generation. God did not abandon the campaign when Moses died. He continued through a new servant until the complete count was reached. The reader who feels that God’s purposes in their life or their church are stalled, incomplete, or interrupted by changing circumstances needs to feel the weight of this structure: God does not lose the thread. His faithfulness is generational, persistent, and undeterred by the death of instruments. Let this produce rest, not anxiety.</w:t>
      </w:r>
    </w:p>
    <w:p>
      <w:pPr>
        <w:pStyle w:val="BodyText"/>
      </w:pPr>
      <w:r>
        <w:rPr>
          <w:b/>
          <w:bCs/>
        </w:rPr>
        <w:t xml:space="preserve">4. When God makes a promise, He keeps the whole thing — not an edited version of it.</w:t>
      </w:r>
      <w:r>
        <w:t xml:space="preserve"> </w:t>
      </w:r>
      <w:r>
        <w:rPr>
          <w:i/>
          <w:iCs/>
        </w:rPr>
        <w:t xml:space="preserve">(Affections/Worship)</w:t>
      </w:r>
      <w:r>
        <w:t xml:space="preserve"> </w:t>
      </w:r>
      <w:r>
        <w:t xml:space="preserve">Genesis 15 named the nations. Deuteronomy 7 named the command. Joshua 12 provides the documented fulfillment — not</w:t>
      </w:r>
      <w:r>
        <w:t xml:space="preserve"> </w:t>
      </w:r>
      <w:r>
        <w:t xml:space="preserve">“most of the nations”</w:t>
      </w:r>
      <w:r>
        <w:t xml:space="preserve"> </w:t>
      </w:r>
      <w:r>
        <w:t xml:space="preserve">but a specific, exhaustive accounting. The doxological response is proportionate: God’s faithfulness is not partial or approximate. He keeps the whole promise. This should reshape how believers read God’s still-outstanding promises — not with anxious speculation but with the confidence of someone who has read the ledger and seen how God operates. He is not a God who delivers approximately.</w:t>
      </w:r>
    </w:p>
    <w:p>
      <w:pPr>
        <w:pStyle w:val="BodyText"/>
      </w:pPr>
      <w:r>
        <w:rPr>
          <w:b/>
          <w:bCs/>
        </w:rPr>
        <w:t xml:space="preserve">5. Stop living below the level of what God has actually done.</w:t>
      </w:r>
      <w:r>
        <w:t xml:space="preserve"> </w:t>
      </w:r>
      <w:r>
        <w:rPr>
          <w:i/>
          <w:iCs/>
        </w:rPr>
        <w:t xml:space="preserve">(Will/Behavior)</w:t>
      </w:r>
      <w:r>
        <w:t xml:space="preserve"> </w:t>
      </w:r>
      <w:r>
        <w:t xml:space="preserve">Thirty-one entries. A full, documented, irreversible victory. And yet Israel will struggle in the chapters that follow to fully inhabit the land, to drive out remaining inhabitants, to live as people who have actually received what the ledger says they have. The application is concrete: identify the specific area of your life where you are still living as though God has not acted — where fear, self-protection, or old patterns persist as though the record were empty. The ledger says otherwise. Live accordingly. The land has been given; stop camping outside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12 teaches that God is a covenant-keeping King who completes what He begins. The chapter’s documentary form is itself a theological statement: the LORD’s faithfulness is not vague or impressionistic — it is specific, enumerable, and fully accountable. Every king corresponds to a promise kept, a barrier removed, a portion of the inheritance actually delivered. The two-part structure (Moses/Transjordan; Joshua/Cisjordan) teaches that God’s purposes are not dependent on any single servant — they persist across generations, through leadership transitions, and to their full appointed completion. The final count of thirty-one is not incidental; it is the text insisting that divine faithfulness can be counted, catalogued, and confirmed.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12 grounds the doctrine of divine sovereignty in concrete historical record rather than abstract assertion. The land was not won by superior Israelite arms or tactics — it was given by a God whose decree cannot be frustrated, whose promise cannot fail, and whose covenant faithfulness operates across generations and through fallible instruments without diminishment. For Reformed theology, this chapter is a paradigm case of monergism in the arena of covenant history: God does the decisive work, human agents serve as instruments, and the glory belongs to YHWH alone. The chapter also models the proper response to God’s sovereign grace — not passive resignation but active, worshipful acknowledgment of what He has actually done, which is the engine of genuine gospel gratitude and the death of all self-congratulation. Christ is the ultimate fulfillment of what Joshua foreshadows: the true Joshua who has defeated every enemy of God’s people and whose completed work is the ground of their full inheritance.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Read the list. All thirty-one. Let the accumulation land. This is what God actually did — not approximately, not mostly, not in some spiritual sense that leaves the hard parts to you. The promise was kept in full, king by king, campaign by campaign, generation after generation. If God kept that ledger with that precision and that completeness, then the promises He has made to you in Christ are not under negotiation and not at risk. Stop living as though the ledger were empty.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Skipping or summarizing the list as though it has no homiletical value.</w:t>
      </w:r>
      <w:r>
        <w:t xml:space="preserve"> </w:t>
      </w:r>
      <w:r>
        <w:t xml:space="preserve">The most common failure with Joshua 12 is treating the king-list as an awkward administrative intrusion and racing past it to reach</w:t>
      </w:r>
      <w:r>
        <w:t xml:space="preserve"> </w:t>
      </w:r>
      <w:r>
        <w:t xml:space="preserve">“more preachable”</w:t>
      </w:r>
      <w:r>
        <w:t xml:space="preserve"> </w:t>
      </w:r>
      <w:r>
        <w:t xml:space="preserve">material. This is precisely the wrong move. The list</w:t>
      </w:r>
      <w:r>
        <w:t xml:space="preserve"> </w:t>
      </w:r>
      <w:r>
        <w:rPr>
          <w:i/>
          <w:iCs/>
        </w:rPr>
        <w:t xml:space="preserve">is</w:t>
      </w:r>
      <w:r>
        <w:t xml:space="preserve"> </w:t>
      </w:r>
      <w:r>
        <w:t xml:space="preserve">the sermon. The accumulation is the argument. Preachers who skip it or reduce it to</w:t>
      </w:r>
      <w:r>
        <w:t xml:space="preserve"> </w:t>
      </w:r>
      <w:r>
        <w:t xml:space="preserve">“thirty-one kings were defeated”</w:t>
      </w:r>
      <w:r>
        <w:t xml:space="preserve"> </w:t>
      </w:r>
      <w:r>
        <w:t xml:space="preserve">deprive their congregation of the experience the text is designed to produce. Read the list — or a substantial portion of it — in the pulpit. Let the rhythm work.</w:t>
      </w:r>
    </w:p>
    <w:p>
      <w:pPr>
        <w:numPr>
          <w:ilvl w:val="0"/>
          <w:numId w:val="1002"/>
        </w:numPr>
      </w:pPr>
      <w:r>
        <w:rPr>
          <w:b/>
          <w:bCs/>
        </w:rPr>
        <w:t xml:space="preserve">Treating the chapter as purely historical rather than doxological.</w:t>
      </w:r>
      <w:r>
        <w:t xml:space="preserve"> </w:t>
      </w:r>
      <w:r>
        <w:t xml:space="preserve">Joshua 12 is not a history lesson with some application sprinkled in. It is documentary doxology — the form of a royal victory annals appropriated to declare the LORD’s greatness. Preaching it as</w:t>
      </w:r>
      <w:r>
        <w:t xml:space="preserve"> </w:t>
      </w:r>
      <w:r>
        <w:t xml:space="preserve">“here’s what happened in the conquest”</w:t>
      </w:r>
      <w:r>
        <w:t xml:space="preserve"> </w:t>
      </w:r>
      <w:r>
        <w:t xml:space="preserve">misses the genre entirely. The question is always: what response is this form designed to produce? The answer is worship, reckoning, and trust.</w:t>
      </w:r>
    </w:p>
    <w:p>
      <w:pPr>
        <w:numPr>
          <w:ilvl w:val="0"/>
          <w:numId w:val="1002"/>
        </w:numPr>
      </w:pPr>
      <w:r>
        <w:rPr>
          <w:b/>
          <w:bCs/>
        </w:rPr>
        <w:t xml:space="preserve">Isolating the chapter from the covenant promise it is fulfilling.</w:t>
      </w:r>
      <w:r>
        <w:t xml:space="preserve"> </w:t>
      </w:r>
      <w:r>
        <w:t xml:space="preserve">Joshua 12 cannot be fully preached without Genesis 15, Deuteronomy 7, and the covenant land-grant tradition. Without those anchors, the chapter is a list of names. With them, it is a ledger of fulfilled promises. Preachers should briefly surface the specific promises God made about the nations and then let the king-list land as documented fulfillment.</w:t>
      </w:r>
    </w:p>
    <w:p>
      <w:pPr>
        <w:numPr>
          <w:ilvl w:val="0"/>
          <w:numId w:val="1002"/>
        </w:numPr>
      </w:pPr>
      <w:r>
        <w:rPr>
          <w:b/>
          <w:bCs/>
        </w:rPr>
        <w:t xml:space="preserve">Moralizing the applications toward Israelite military courage or Joshua’s leadership.</w:t>
      </w:r>
      <w:r>
        <w:t xml:space="preserve"> </w:t>
      </w:r>
      <w:r>
        <w:t xml:space="preserve">The text deliberately attributes the victories to YHWH and to Moses and Joshua as His servants. Applications that pivot to</w:t>
      </w:r>
      <w:r>
        <w:t xml:space="preserve"> </w:t>
      </w:r>
      <w:r>
        <w:t xml:space="preserve">“be courageous like Joshua”</w:t>
      </w:r>
      <w:r>
        <w:t xml:space="preserve"> </w:t>
      </w:r>
      <w:r>
        <w:t xml:space="preserve">or</w:t>
      </w:r>
      <w:r>
        <w:t xml:space="preserve"> </w:t>
      </w:r>
      <w:r>
        <w:t xml:space="preserve">“follow strong leaders”</w:t>
      </w:r>
      <w:r>
        <w:t xml:space="preserve"> </w:t>
      </w:r>
      <w:r>
        <w:t xml:space="preserve">invert the theological argument. The point is not what Israel did but what God did through them. Applications must preserve the direction of causality the text itself insists upon.</w:t>
      </w:r>
    </w:p>
    <w:p>
      <w:pPr>
        <w:numPr>
          <w:ilvl w:val="0"/>
          <w:numId w:val="1002"/>
        </w:numPr>
      </w:pPr>
      <w:r>
        <w:rPr>
          <w:b/>
          <w:bCs/>
        </w:rPr>
        <w:t xml:space="preserve">Failing to connect the Joshua typology to Christ.</w:t>
      </w:r>
      <w:r>
        <w:t xml:space="preserve"> </w:t>
      </w:r>
      <w:r>
        <w:t xml:space="preserve">“Joshua”</w:t>
      </w:r>
      <w:r>
        <w:t xml:space="preserve"> </w:t>
      </w:r>
      <w:r>
        <w:t xml:space="preserve">is the Hebrew form of</w:t>
      </w:r>
      <w:r>
        <w:t xml:space="preserve"> </w:t>
      </w:r>
      <w:r>
        <w:t xml:space="preserve">“Jesus”</w:t>
      </w:r>
      <w:r>
        <w:t xml:space="preserve"> </w:t>
      </w:r>
      <w:r>
        <w:t xml:space="preserve">— a point too significant to pass silently. Joshua leads God’s people into their inheritance by defeating every enemy. Christ leads His people into their eternal inheritance by defeating sin, death, and the curse. The thirty-one kings point forward to every power arrayed against God’s people being placed under Christ’s feet (1 Corinthians 15:25; Ephesians 1:22). Preaching that stops at the historical level without this redemptive-historical tether leaves the congregation at the edge of the Jordan without getting them to Christ.</w:t>
      </w:r>
    </w:p>
    <w:p>
      <w:pPr>
        <w:numPr>
          <w:ilvl w:val="0"/>
          <w:numId w:val="1002"/>
        </w:numPr>
      </w:pPr>
      <w:r>
        <w:rPr>
          <w:b/>
          <w:bCs/>
        </w:rPr>
        <w:t xml:space="preserve">Generating applications disconnected from the specific claim of the chapter.</w:t>
      </w:r>
      <w:r>
        <w:t xml:space="preserve"> </w:t>
      </w:r>
      <w:r>
        <w:t xml:space="preserve">Because Joshua 12 is a list, preachers may be tempted to import generic</w:t>
      </w:r>
      <w:r>
        <w:t xml:space="preserve"> </w:t>
      </w:r>
      <w:r>
        <w:t xml:space="preserve">“trust God”</w:t>
      </w:r>
      <w:r>
        <w:t xml:space="preserve"> </w:t>
      </w:r>
      <w:r>
        <w:t xml:space="preserve">or</w:t>
      </w:r>
      <w:r>
        <w:t xml:space="preserve"> </w:t>
      </w:r>
      <w:r>
        <w:t xml:space="preserve">“remember His faithfulness”</w:t>
      </w:r>
      <w:r>
        <w:t xml:space="preserve"> </w:t>
      </w:r>
      <w:r>
        <w:t xml:space="preserve">applications that could appear in any sermon on any text. The specific application of this chapter’s specific form — a complete, enumerable, documented ledger — is that God’s faithfulness is not vague but specific, not approximate but exhaustive, not partial but fully completed. Applications should carry that specificity into concrete areas of the listener’s life.</w:t>
      </w:r>
    </w:p>
    <w:p>
      <w:r>
        <w:pict>
          <v:rect style="width:0;height:1.5pt" o:hralign="center" o:hrstd="t" o:hr="t"/>
        </w:pict>
      </w:r>
    </w:p>
    <w:p>
      <w:pPr>
        <w:pStyle w:val="FirstParagraph"/>
      </w:pPr>
      <w:r>
        <w:rPr>
          <w:i/>
          <w:iCs/>
        </w:rPr>
        <w:t xml:space="preserve">Document:</w:t>
      </w:r>
      <w:r>
        <w:rPr>
          <w:i/>
          <w:iCs/>
        </w:rPr>
        <w:t xml:space="preserve"> </w:t>
      </w:r>
      <w:r>
        <w:rPr>
          <w:b/>
          <w:bCs/>
          <w:i/>
          <w:iCs/>
        </w:rPr>
        <w:t xml:space="preserve">06 Joshua 12.docx</w:t>
      </w:r>
      <w:r>
        <w:rPr>
          <w:i/>
          <w:iCs/>
        </w:rPr>
        <w:t xml:space="preserve"> </w:t>
      </w:r>
      <w:r>
        <w:rPr>
          <w:i/>
          <w:iCs/>
        </w:rPr>
        <w:t xml:space="preserve">| Framework: CLAUDE2.md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2026-07-14T21:02:17Z</dcterms:created>
  <dcterms:modified xsi:type="dcterms:W3CDTF">2026-07-14T21:02:17Z</dcterms:modified>
</cp:coreProperties>
</file>

<file path=docProps/custom.xml><?xml version="1.0" encoding="utf-8"?>
<Properties xmlns="http://schemas.openxmlformats.org/officeDocument/2006/custom-properties" xmlns:vt="http://schemas.openxmlformats.org/officeDocument/2006/docPropsVTypes"/>
</file>